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E58" w:rsidRPr="005D52D9" w:rsidRDefault="00EA6E58" w:rsidP="00EA6E58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:rsidR="00EA6E58" w:rsidRPr="005D52D9" w:rsidRDefault="00EA6E58" w:rsidP="00EA6E58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:rsidR="00EA6E58" w:rsidRDefault="00666270" w:rsidP="00EA6E58">
      <w:pPr>
        <w:autoSpaceDE w:val="0"/>
        <w:autoSpaceDN w:val="0"/>
        <w:adjustRightInd w:val="0"/>
        <w:spacing w:after="120" w:line="320" w:lineRule="atLeast"/>
        <w:jc w:val="center"/>
        <w:rPr>
          <w:rFonts w:ascii="Verdana" w:hAnsi="Verdana"/>
          <w:b/>
          <w:sz w:val="18"/>
          <w:szCs w:val="18"/>
        </w:rPr>
      </w:pPr>
      <w:r w:rsidRPr="00666270">
        <w:rPr>
          <w:rFonts w:ascii="Verdana" w:hAnsi="Verdana"/>
          <w:b/>
          <w:sz w:val="18"/>
          <w:szCs w:val="18"/>
        </w:rPr>
        <w:t xml:space="preserve">Oprava měřicí diagnostiky v </w:t>
      </w:r>
      <w:proofErr w:type="spellStart"/>
      <w:r w:rsidRPr="00666270">
        <w:rPr>
          <w:rFonts w:ascii="Verdana" w:hAnsi="Verdana"/>
          <w:b/>
          <w:sz w:val="18"/>
          <w:szCs w:val="18"/>
        </w:rPr>
        <w:t>žst</w:t>
      </w:r>
      <w:proofErr w:type="spellEnd"/>
      <w:r w:rsidRPr="00666270">
        <w:rPr>
          <w:rFonts w:ascii="Verdana" w:hAnsi="Verdana"/>
          <w:b/>
          <w:sz w:val="18"/>
          <w:szCs w:val="18"/>
        </w:rPr>
        <w:t>. Krasíkov, Rudoltice</w:t>
      </w:r>
    </w:p>
    <w:p w:rsidR="00EA6E58" w:rsidRDefault="00EA6E58" w:rsidP="00EA6E58">
      <w:pPr>
        <w:autoSpaceDE w:val="0"/>
        <w:autoSpaceDN w:val="0"/>
        <w:adjustRightInd w:val="0"/>
        <w:spacing w:after="120" w:line="320" w:lineRule="atLeast"/>
        <w:jc w:val="center"/>
        <w:rPr>
          <w:rFonts w:ascii="Verdana" w:hAnsi="Verdana" w:cstheme="minorHAnsi"/>
          <w:color w:val="000000"/>
          <w:sz w:val="18"/>
          <w:szCs w:val="18"/>
        </w:rPr>
      </w:pPr>
    </w:p>
    <w:p w:rsidR="00EA6E58" w:rsidRPr="00872465" w:rsidRDefault="00EA6E58" w:rsidP="00EA6E58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:rsidR="00EA6E58" w:rsidRPr="00872465" w:rsidRDefault="00FA71A3" w:rsidP="00EA6E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:rsidR="00EA6E58" w:rsidRPr="00872465" w:rsidRDefault="00EA6E58" w:rsidP="00EA6E5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EA6E58" w:rsidRPr="00872465" w:rsidRDefault="00EA6E58" w:rsidP="00EA6E5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EA6E58" w:rsidRPr="00872465" w:rsidRDefault="00EA6E58" w:rsidP="00EA6E58">
      <w:pPr>
        <w:widowControl w:val="0"/>
        <w:autoSpaceDE w:val="0"/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EA6E58" w:rsidRPr="005D52D9" w:rsidRDefault="00EA6E58" w:rsidP="00EA6E58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:rsidR="00EA6E58" w:rsidRPr="005D52D9" w:rsidRDefault="00EA6E58" w:rsidP="00EA6E58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EA6E58" w:rsidRPr="009E6A50" w:rsidRDefault="00EA6E58" w:rsidP="00151D8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</w:t>
      </w:r>
      <w:r w:rsidR="009E6A50">
        <w:rPr>
          <w:rFonts w:ascii="Verdana" w:hAnsi="Verdana" w:cstheme="minorHAnsi"/>
          <w:sz w:val="18"/>
          <w:szCs w:val="18"/>
        </w:rPr>
        <w:t>o míst veřejnosti nepřístupných,</w:t>
      </w:r>
    </w:p>
    <w:p w:rsidR="009E6A50" w:rsidRPr="00666270" w:rsidRDefault="009E6A50" w:rsidP="009E6A50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666270" w:rsidRPr="009E6A50" w:rsidRDefault="00666270" w:rsidP="0066627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66270">
        <w:rPr>
          <w:rFonts w:ascii="Verdana" w:hAnsi="Verdana" w:cstheme="minorHAnsi"/>
          <w:color w:val="000000"/>
          <w:sz w:val="18"/>
          <w:szCs w:val="18"/>
        </w:rPr>
        <w:t>všechny v nabídce uvedené odborně způsobilé osoby s požadovanými platnými odbornými zkouškami dle předpisu SŽDC Zam1 (resp. dle Směrnice SŽDC č. 50) jsou v hlavním pracovním či obdobném poměru u</w:t>
      </w:r>
      <w:r w:rsidR="00780DD6">
        <w:rPr>
          <w:rFonts w:ascii="Verdana" w:hAnsi="Verdana" w:cstheme="minorHAnsi"/>
          <w:color w:val="000000"/>
          <w:sz w:val="18"/>
          <w:szCs w:val="18"/>
        </w:rPr>
        <w:t xml:space="preserve"> účastníka nebo u poddodavatele.</w:t>
      </w:r>
      <w:r w:rsidRPr="00666270">
        <w:rPr>
          <w:rFonts w:ascii="Verdana" w:hAnsi="Verdana" w:cstheme="minorHAnsi"/>
          <w:color w:val="000000"/>
          <w:sz w:val="18"/>
          <w:szCs w:val="18"/>
        </w:rPr>
        <w:t xml:space="preserve"> </w:t>
      </w:r>
      <w:r w:rsidRPr="009E6A50">
        <w:rPr>
          <w:rFonts w:ascii="Verdana" w:hAnsi="Verdana" w:cstheme="minorHAnsi"/>
          <w:color w:val="000000"/>
          <w:sz w:val="18"/>
          <w:szCs w:val="18"/>
          <w:vertAlign w:val="superscript"/>
        </w:rPr>
        <w:t>*)</w:t>
      </w: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9E6A50" w:rsidRDefault="009E6A50" w:rsidP="009E6A50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3727EC" w:rsidRPr="00EA6E58" w:rsidRDefault="009E6A50" w:rsidP="00520CF1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bookmarkStart w:id="0" w:name="_GoBack"/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  <w:bookmarkEnd w:id="0"/>
    </w:p>
    <w:sectPr w:rsidR="003727EC" w:rsidRPr="00EA6E58" w:rsidSect="005D52D9">
      <w:footerReference w:type="default" r:id="rId8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BC3" w:rsidRDefault="00DA4BC3">
      <w:r>
        <w:separator/>
      </w:r>
    </w:p>
  </w:endnote>
  <w:endnote w:type="continuationSeparator" w:id="0">
    <w:p w:rsidR="00DA4BC3" w:rsidRDefault="00DA4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2D9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520CF1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520CF1" w:rsidRPr="00520CF1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BC3" w:rsidRDefault="00DA4BC3">
      <w:r>
        <w:separator/>
      </w:r>
    </w:p>
  </w:footnote>
  <w:footnote w:type="continuationSeparator" w:id="0">
    <w:p w:rsidR="00DA4BC3" w:rsidRDefault="00DA4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E58"/>
    <w:rsid w:val="000E0B21"/>
    <w:rsid w:val="000F225D"/>
    <w:rsid w:val="00127826"/>
    <w:rsid w:val="00151D89"/>
    <w:rsid w:val="00165F98"/>
    <w:rsid w:val="001E6795"/>
    <w:rsid w:val="00214FBF"/>
    <w:rsid w:val="003727EC"/>
    <w:rsid w:val="00520CF1"/>
    <w:rsid w:val="00666270"/>
    <w:rsid w:val="006C60D7"/>
    <w:rsid w:val="00780DD6"/>
    <w:rsid w:val="009D5B8C"/>
    <w:rsid w:val="009E6A50"/>
    <w:rsid w:val="009F5FEF"/>
    <w:rsid w:val="00A32861"/>
    <w:rsid w:val="00BF6A6B"/>
    <w:rsid w:val="00C37CC4"/>
    <w:rsid w:val="00DA4BC3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8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Matoušková Petra, Ing.</cp:lastModifiedBy>
  <cp:revision>14</cp:revision>
  <dcterms:created xsi:type="dcterms:W3CDTF">2019-04-12T09:15:00Z</dcterms:created>
  <dcterms:modified xsi:type="dcterms:W3CDTF">2019-12-06T08:38:00Z</dcterms:modified>
</cp:coreProperties>
</file>